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科技行业平衡计分卡模板（侧重创新/学习维度）</w:t>
      </w:r>
    </w:p>
    <w:p>
      <w:pPr>
        <w:jc w:val="center"/>
      </w:pPr>
      <w:r>
        <w:t>版本：V1.0 | 日期：2026-03-01 | 作者：卓越质量智库</w:t>
      </w:r>
    </w:p>
    <w:p>
      <w:r>
        <w:br w:type="page"/>
      </w:r>
    </w:p>
    <w:p>
      <w:pPr>
        <w:pStyle w:val="Heading1"/>
      </w:pPr>
      <w:r>
        <w:t>一、维度框架</w:t>
      </w:r>
    </w:p>
    <w:p>
      <w:r>
        <w:t>本模板强化创新产出与研发效率，覆盖四大平衡计分卡维度：</w:t>
      </w:r>
    </w:p>
    <w:p>
      <w:r>
        <w:t>• 财务维度：研发投入回报、新产品营收占比</w:t>
      </w:r>
    </w:p>
    <w:p>
      <w:r>
        <w:t>• 客户维度：市场占有率、用户活跃度</w:t>
      </w:r>
    </w:p>
    <w:p>
      <w:r>
        <w:t>• 内部流程：研发交付周期、缺陷逃逸率</w:t>
      </w:r>
    </w:p>
    <w:p>
      <w:r>
        <w:t>• 学习与成长：专利申请数、核心人才保留率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维度</w:t>
            </w:r>
          </w:p>
        </w:tc>
        <w:tc>
          <w:tcPr>
            <w:tcW w:type="dxa" w:w="1440"/>
          </w:tcPr>
          <w:p>
            <w:r>
              <w:t>战略目标</w:t>
            </w:r>
          </w:p>
        </w:tc>
        <w:tc>
          <w:tcPr>
            <w:tcW w:type="dxa" w:w="1440"/>
          </w:tcPr>
          <w:p>
            <w:r>
              <w:t>关键绩效指标（KPI）</w:t>
            </w:r>
          </w:p>
        </w:tc>
        <w:tc>
          <w:tcPr>
            <w:tcW w:type="dxa" w:w="1440"/>
          </w:tcPr>
          <w:p>
            <w:r>
              <w:t>目标值</w:t>
            </w:r>
          </w:p>
        </w:tc>
        <w:tc>
          <w:tcPr>
            <w:tcW w:type="dxa" w:w="1440"/>
          </w:tcPr>
          <w:p>
            <w:r>
              <w:t>数据来源</w:t>
            </w:r>
          </w:p>
        </w:tc>
        <w:tc>
          <w:tcPr>
            <w:tcW w:type="dxa" w:w="1440"/>
          </w:tcPr>
          <w:p>
            <w:r>
              <w:t>责任人</w:t>
            </w:r>
          </w:p>
        </w:tc>
      </w:tr>
      <w:tr>
        <w:tc>
          <w:tcPr>
            <w:tcW w:type="dxa" w:w="1440"/>
          </w:tcPr>
          <w:p>
            <w:r>
              <w:t>财务</w:t>
            </w:r>
          </w:p>
        </w:tc>
        <w:tc>
          <w:tcPr>
            <w:tcW w:type="dxa" w:w="1440"/>
          </w:tcPr>
          <w:p>
            <w:r>
              <w:t>提升研发投入回报</w:t>
            </w:r>
          </w:p>
        </w:tc>
        <w:tc>
          <w:tcPr>
            <w:tcW w:type="dxa" w:w="1440"/>
          </w:tcPr>
          <w:p>
            <w:r>
              <w:t>研发投入占比、新产品营收占比</w:t>
            </w:r>
          </w:p>
        </w:tc>
        <w:tc>
          <w:tcPr>
            <w:tcW w:type="dxa" w:w="1440"/>
          </w:tcPr>
          <w:p>
            <w:r>
              <w:t>新产品营收≥30%</w:t>
            </w:r>
          </w:p>
        </w:tc>
        <w:tc>
          <w:tcPr>
            <w:tcW w:type="dxa" w:w="1440"/>
          </w:tcPr>
          <w:p>
            <w:r>
              <w:t>财务系统</w:t>
            </w:r>
          </w:p>
        </w:tc>
        <w:tc>
          <w:tcPr>
            <w:tcW w:type="dxa" w:w="1440"/>
          </w:tcPr>
          <w:p>
            <w:r>
              <w:t>CFO</w:t>
            </w:r>
          </w:p>
        </w:tc>
      </w:tr>
      <w:tr>
        <w:tc>
          <w:tcPr>
            <w:tcW w:type="dxa" w:w="1440"/>
          </w:tcPr>
          <w:p>
            <w:r>
              <w:t>客户</w:t>
            </w:r>
          </w:p>
        </w:tc>
        <w:tc>
          <w:tcPr>
            <w:tcW w:type="dxa" w:w="1440"/>
          </w:tcPr>
          <w:p>
            <w:r>
              <w:t>提升产品竞争力</w:t>
            </w:r>
          </w:p>
        </w:tc>
        <w:tc>
          <w:tcPr>
            <w:tcW w:type="dxa" w:w="1440"/>
          </w:tcPr>
          <w:p>
            <w:r>
              <w:t>市场占有率、用户活跃度</w:t>
            </w:r>
          </w:p>
        </w:tc>
        <w:tc>
          <w:tcPr>
            <w:tcW w:type="dxa" w:w="1440"/>
          </w:tcPr>
          <w:p>
            <w:r>
              <w:t>市场占有率提升5%</w:t>
            </w:r>
          </w:p>
        </w:tc>
        <w:tc>
          <w:tcPr>
            <w:tcW w:type="dxa" w:w="1440"/>
          </w:tcPr>
          <w:p>
            <w:r>
              <w:t>市场系统</w:t>
            </w:r>
          </w:p>
        </w:tc>
        <w:tc>
          <w:tcPr>
            <w:tcW w:type="dxa" w:w="1440"/>
          </w:tcPr>
          <w:p>
            <w:r>
              <w:t>产品总监</w:t>
            </w:r>
          </w:p>
        </w:tc>
      </w:tr>
      <w:tr>
        <w:tc>
          <w:tcPr>
            <w:tcW w:type="dxa" w:w="1440"/>
          </w:tcPr>
          <w:p>
            <w:r>
              <w:t>内部流程</w:t>
            </w:r>
          </w:p>
        </w:tc>
        <w:tc>
          <w:tcPr>
            <w:tcW w:type="dxa" w:w="1440"/>
          </w:tcPr>
          <w:p>
            <w:r>
              <w:t>提升研发效率</w:t>
            </w:r>
          </w:p>
        </w:tc>
        <w:tc>
          <w:tcPr>
            <w:tcW w:type="dxa" w:w="1440"/>
          </w:tcPr>
          <w:p>
            <w:r>
              <w:t>需求交付周期、缺陷逃逸率</w:t>
            </w:r>
          </w:p>
        </w:tc>
        <w:tc>
          <w:tcPr>
            <w:tcW w:type="dxa" w:w="1440"/>
          </w:tcPr>
          <w:p>
            <w:r>
              <w:t>交付周期≤2周</w:t>
            </w:r>
          </w:p>
        </w:tc>
        <w:tc>
          <w:tcPr>
            <w:tcW w:type="dxa" w:w="1440"/>
          </w:tcPr>
          <w:p>
            <w:r>
              <w:t>研发系统</w:t>
            </w:r>
          </w:p>
        </w:tc>
        <w:tc>
          <w:tcPr>
            <w:tcW w:type="dxa" w:w="1440"/>
          </w:tcPr>
          <w:p>
            <w:r>
              <w:t>技术总监</w:t>
            </w:r>
          </w:p>
        </w:tc>
      </w:tr>
      <w:tr>
        <w:tc>
          <w:tcPr>
            <w:tcW w:type="dxa" w:w="1440"/>
          </w:tcPr>
          <w:p>
            <w:r>
              <w:t>学习与成长</w:t>
            </w:r>
          </w:p>
        </w:tc>
        <w:tc>
          <w:tcPr>
            <w:tcW w:type="dxa" w:w="1440"/>
          </w:tcPr>
          <w:p>
            <w:r>
              <w:t>强化创新能力</w:t>
            </w:r>
          </w:p>
        </w:tc>
        <w:tc>
          <w:tcPr>
            <w:tcW w:type="dxa" w:w="1440"/>
          </w:tcPr>
          <w:p>
            <w:r>
              <w:t>专利申请数、核心人才保留率</w:t>
            </w:r>
          </w:p>
        </w:tc>
        <w:tc>
          <w:tcPr>
            <w:tcW w:type="dxa" w:w="1440"/>
          </w:tcPr>
          <w:p>
            <w:r>
              <w:t>专利≥10项</w:t>
            </w:r>
          </w:p>
        </w:tc>
        <w:tc>
          <w:tcPr>
            <w:tcW w:type="dxa" w:w="1440"/>
          </w:tcPr>
          <w:p>
            <w:r>
              <w:t>知识产权系统</w:t>
            </w:r>
          </w:p>
        </w:tc>
        <w:tc>
          <w:tcPr>
            <w:tcW w:type="dxa" w:w="1440"/>
          </w:tcPr>
          <w:p>
            <w:r>
              <w:t>人力总监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